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B3" w:rsidRPr="00DD0ECB" w:rsidRDefault="00B62586" w:rsidP="00B21EB3">
      <w:pPr>
        <w:pStyle w:val="Normal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Uzasadnienie</w:t>
      </w:r>
      <w:r w:rsidR="00B21EB3" w:rsidRPr="00DD0ECB">
        <w:rPr>
          <w:rFonts w:ascii="Times New Roman" w:hAnsi="Times New Roman" w:cs="Times New Roman"/>
          <w:b/>
        </w:rPr>
        <w:t xml:space="preserve"> do Wieloletniej Prognozy Finansowej na lata 2011-2018</w:t>
      </w:r>
    </w:p>
    <w:p w:rsidR="00B21EB3" w:rsidRPr="00B21EB3" w:rsidRDefault="00B21EB3" w:rsidP="00B21EB3">
      <w:pPr>
        <w:pStyle w:val="Normal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B21EB3" w:rsidRPr="00B21EB3" w:rsidRDefault="00B21EB3" w:rsidP="00B21EB3">
      <w:pPr>
        <w:pStyle w:val="Normal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054C20" w:rsidRDefault="00B21EB3" w:rsidP="00B21EB3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  <w:r w:rsidRPr="00B21EB3">
        <w:rPr>
          <w:rFonts w:ascii="Times New Roman" w:hAnsi="Times New Roman" w:cs="Times New Roman"/>
          <w:b/>
          <w:bCs/>
        </w:rPr>
        <w:t xml:space="preserve">      </w:t>
      </w:r>
      <w:r w:rsidRPr="00B21EB3">
        <w:rPr>
          <w:rFonts w:ascii="Times New Roman" w:hAnsi="Times New Roman" w:cs="Times New Roman"/>
        </w:rPr>
        <w:t xml:space="preserve">   Przy opracowywaniu Wieloletniej Prognozy Finansowej Miasta Przasnysza przeprowadzono analizę dochodów i wydatków budżetowych </w:t>
      </w:r>
      <w:r w:rsidR="009435A9">
        <w:rPr>
          <w:rFonts w:ascii="Times New Roman" w:hAnsi="Times New Roman" w:cs="Times New Roman"/>
        </w:rPr>
        <w:t>za lata</w:t>
      </w:r>
      <w:r w:rsidRPr="00B21EB3">
        <w:rPr>
          <w:rFonts w:ascii="Times New Roman" w:hAnsi="Times New Roman" w:cs="Times New Roman"/>
        </w:rPr>
        <w:t xml:space="preserve"> 2007-2010. Następnie opracowano i przyjęto założenia do Wieloletniej Prognozy Finansowej na lata 2011-2018. Założenia te porównano z danymi opracowanymi przez Ministerstwo Finansów. </w:t>
      </w:r>
      <w:r w:rsidR="00DD0ECB">
        <w:rPr>
          <w:rFonts w:ascii="Times New Roman" w:hAnsi="Times New Roman" w:cs="Times New Roman"/>
        </w:rPr>
        <w:br/>
      </w:r>
      <w:r w:rsidRPr="00B21EB3">
        <w:rPr>
          <w:rFonts w:ascii="Times New Roman" w:hAnsi="Times New Roman" w:cs="Times New Roman"/>
        </w:rPr>
        <w:t xml:space="preserve">Z opracowanych danych wynika, że wskaźniki w zakresie dochodów i wydatków dla Miasta Przasnysza </w:t>
      </w:r>
      <w:r>
        <w:rPr>
          <w:rFonts w:ascii="Times New Roman" w:hAnsi="Times New Roman" w:cs="Times New Roman"/>
        </w:rPr>
        <w:t xml:space="preserve">będą nieco niższe niż wskaźniki opracowane przez Ministerstwo Finansów z uwagi na warunki lokalne oraz politykę prowadzoną przez lokalne władze samorządowe. Dotyczyć to będzie przede wszystkim podatków i opłat lokalnych, które w latach ubiegłych wzrastały </w:t>
      </w:r>
      <w:r w:rsidR="00B63C82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o wskaźnik inflacji. Zakładając, że kolejne władze samorządowe będą kontynuować politykę swoich poprzedników tempo wzrostu dochodów z tego tytułu będzie niższe niż wskaźnik wzrostu PKB. Założono przy tym, iż funkcjonujące na terenie miasta podmioty gospodarcze będą kontynuowały swoją działalność. W dalszym ciągu będziemy czynili starania </w:t>
      </w:r>
      <w:r w:rsidR="00B63C82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>o pozyskiwan</w:t>
      </w:r>
      <w:r w:rsidR="009435A9">
        <w:rPr>
          <w:rFonts w:ascii="Times New Roman" w:hAnsi="Times New Roman" w:cs="Times New Roman"/>
        </w:rPr>
        <w:t>ie inwestorów</w:t>
      </w:r>
      <w:r>
        <w:rPr>
          <w:rFonts w:ascii="Times New Roman" w:hAnsi="Times New Roman" w:cs="Times New Roman"/>
        </w:rPr>
        <w:t xml:space="preserve"> zewnętrznych i o rozwój przedsiębiorczości lokalnej </w:t>
      </w:r>
      <w:r w:rsidR="009435A9">
        <w:rPr>
          <w:rFonts w:ascii="Times New Roman" w:hAnsi="Times New Roman" w:cs="Times New Roman"/>
        </w:rPr>
        <w:t>na terenie miasta. N</w:t>
      </w:r>
      <w:r>
        <w:rPr>
          <w:rFonts w:ascii="Times New Roman" w:hAnsi="Times New Roman" w:cs="Times New Roman"/>
        </w:rPr>
        <w:t xml:space="preserve">a dzień dzisiejszy nie mamy </w:t>
      </w:r>
      <w:r w:rsidR="009435A9">
        <w:rPr>
          <w:rFonts w:ascii="Times New Roman" w:hAnsi="Times New Roman" w:cs="Times New Roman"/>
        </w:rPr>
        <w:t xml:space="preserve">jednak </w:t>
      </w:r>
      <w:r>
        <w:rPr>
          <w:rFonts w:ascii="Times New Roman" w:hAnsi="Times New Roman" w:cs="Times New Roman"/>
        </w:rPr>
        <w:t xml:space="preserve">dostatecznej wiedzy by jakiś nowy duży podmiot gospodarczy miał rozpocząć działalność w następnych latach. </w:t>
      </w:r>
      <w:r w:rsidR="009435A9">
        <w:rPr>
          <w:rFonts w:ascii="Times New Roman" w:hAnsi="Times New Roman" w:cs="Times New Roman"/>
        </w:rPr>
        <w:t xml:space="preserve">W związku z tym nie planujemy wzrostu wpływów z podatków i opłat lokalnych ponad wzrost stawek podatkowych. </w:t>
      </w:r>
    </w:p>
    <w:p w:rsidR="009435A9" w:rsidRDefault="00054C20" w:rsidP="00B21EB3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B21EB3">
        <w:rPr>
          <w:rFonts w:ascii="Times New Roman" w:hAnsi="Times New Roman" w:cs="Times New Roman"/>
        </w:rPr>
        <w:t xml:space="preserve">Dotacje celowe z budżetu państwa ustalono na poziomie wzrostu wskaźnika PKB określonego przez Ministra Finansów. </w:t>
      </w:r>
    </w:p>
    <w:p w:rsidR="009435A9" w:rsidRDefault="009435A9" w:rsidP="00B21EB3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B21EB3">
        <w:rPr>
          <w:rFonts w:ascii="Times New Roman" w:hAnsi="Times New Roman" w:cs="Times New Roman"/>
        </w:rPr>
        <w:t>Ponad wskaźnik wzrostu PKB określono wpływy z części oświatowej subwencji ogólnej, ponieważ od kilku lat utrzymuje się stałe tempo wzrostu liczby dzieci z sąsiednich gmin wiejskich w naszych przedszkolach, szkołach podstawowych i gimnazjum.</w:t>
      </w:r>
      <w:r w:rsidR="00054C20">
        <w:rPr>
          <w:rFonts w:ascii="Times New Roman" w:hAnsi="Times New Roman" w:cs="Times New Roman"/>
        </w:rPr>
        <w:t xml:space="preserve"> </w:t>
      </w:r>
    </w:p>
    <w:p w:rsidR="00054C20" w:rsidRDefault="009435A9" w:rsidP="00B21EB3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054C20">
        <w:rPr>
          <w:rFonts w:ascii="Times New Roman" w:hAnsi="Times New Roman" w:cs="Times New Roman"/>
        </w:rPr>
        <w:t xml:space="preserve">Dotacje majątkowe na zadania inwestycyjne, zarówno ze środków krajowych jak </w:t>
      </w:r>
      <w:r w:rsidR="00B63C82">
        <w:rPr>
          <w:rFonts w:ascii="Times New Roman" w:hAnsi="Times New Roman" w:cs="Times New Roman"/>
        </w:rPr>
        <w:t xml:space="preserve">                   </w:t>
      </w:r>
      <w:r w:rsidR="00054C20">
        <w:rPr>
          <w:rFonts w:ascii="Times New Roman" w:hAnsi="Times New Roman" w:cs="Times New Roman"/>
        </w:rPr>
        <w:t xml:space="preserve">i z budżetu Unii Europejskiej przyjęto na poziomie średniego wzrostu dochodów dla Miasta Przasnysza. Potrzeby w zakresie inwestycji są jeszcze bardzo wysokie, a my będziemy czynić intensywne starania o pozyskanie dodatkowych środków zewnętrznych na inwestycje w mieście. </w:t>
      </w:r>
    </w:p>
    <w:p w:rsidR="009435A9" w:rsidRDefault="009435A9" w:rsidP="009435A9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W związku z powyższym przy planowaniu dochodów na lata 2012-2014 przyjęto średni wskaźnik wzrostu dochodów  o 3,5%, natomiast na lata 2015-2018 o 3%. </w:t>
      </w:r>
    </w:p>
    <w:p w:rsidR="009435A9" w:rsidRDefault="009435A9" w:rsidP="00B21EB3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</w:p>
    <w:p w:rsidR="00054C20" w:rsidRDefault="00054C20" w:rsidP="00B21EB3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Do określenia prognozowanych wydatków ogółem na lata 2012-2018 przyjęto planowane wskaźniki wzrostu towarów i usług określone przez Ministerstwo Finansów. </w:t>
      </w:r>
    </w:p>
    <w:p w:rsidR="00054C20" w:rsidRDefault="00054C20" w:rsidP="00B21EB3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Na wynagrodzenia i składki od nich naliczone przyjęto następujące wskaźniki wzrostu wynagrodzeń: na lata 2012-2013 – 6%, na lata 2014-2018 – 5%. Wskaźniki te są nieco niższe niż wskazane przez Ministerstwo Finansów z uwagi na gospodarcze warunki lokalne. </w:t>
      </w:r>
    </w:p>
    <w:p w:rsidR="00054C20" w:rsidRDefault="00054C20" w:rsidP="00B21EB3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Na lata 2012-2018 nie planowano przychodów z kredytów</w:t>
      </w:r>
      <w:r w:rsidR="009435A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pożyczek </w:t>
      </w:r>
      <w:r w:rsidR="009435A9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emisji obligacji komunalnych. Jedynie do projektu </w:t>
      </w:r>
      <w:r w:rsidR="009435A9">
        <w:rPr>
          <w:rFonts w:ascii="Times New Roman" w:hAnsi="Times New Roman" w:cs="Times New Roman"/>
        </w:rPr>
        <w:t xml:space="preserve">budżetu </w:t>
      </w:r>
      <w:r>
        <w:rPr>
          <w:rFonts w:ascii="Times New Roman" w:hAnsi="Times New Roman" w:cs="Times New Roman"/>
        </w:rPr>
        <w:t xml:space="preserve">na rok 2011 wprowadzono planowaną kwotę 3.500.000 zł z tytułu emisji obligacji komunalnych. </w:t>
      </w:r>
    </w:p>
    <w:p w:rsidR="004062BE" w:rsidRDefault="00054C20" w:rsidP="00B21EB3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Kwota rozchodów ujęta w prognozie na lata 2011-2018 oparta jest o realne wartości ujęte w podpisanych umowach,</w:t>
      </w:r>
      <w:r w:rsidR="004062BE">
        <w:rPr>
          <w:rFonts w:ascii="Times New Roman" w:hAnsi="Times New Roman" w:cs="Times New Roman"/>
        </w:rPr>
        <w:t xml:space="preserve"> z wyjątkiem kwoty rozchodów w wysokości 3.500.000 zł, która zaplanowana została do spłaty w latach 2017</w:t>
      </w:r>
      <w:r w:rsidR="009435A9">
        <w:rPr>
          <w:rFonts w:ascii="Times New Roman" w:hAnsi="Times New Roman" w:cs="Times New Roman"/>
        </w:rPr>
        <w:t xml:space="preserve"> i </w:t>
      </w:r>
      <w:r w:rsidR="004062BE">
        <w:rPr>
          <w:rFonts w:ascii="Times New Roman" w:hAnsi="Times New Roman" w:cs="Times New Roman"/>
        </w:rPr>
        <w:t xml:space="preserve">2018. </w:t>
      </w:r>
    </w:p>
    <w:p w:rsidR="004062BE" w:rsidRDefault="004062BE" w:rsidP="00B21EB3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Kwoty odsetek od zaciągniętych pożyczek i kredytów oraz wyemitowanych obligacji określono w oparciu o podpisane umowy i stanowią również realne wartości. </w:t>
      </w:r>
      <w:r w:rsidR="009435A9">
        <w:rPr>
          <w:rFonts w:ascii="Times New Roman" w:hAnsi="Times New Roman" w:cs="Times New Roman"/>
        </w:rPr>
        <w:t xml:space="preserve">Odsetki </w:t>
      </w:r>
      <w:r w:rsidR="00B63C82">
        <w:rPr>
          <w:rFonts w:ascii="Times New Roman" w:hAnsi="Times New Roman" w:cs="Times New Roman"/>
        </w:rPr>
        <w:t xml:space="preserve">                      </w:t>
      </w:r>
      <w:r w:rsidR="009435A9">
        <w:rPr>
          <w:rFonts w:ascii="Times New Roman" w:hAnsi="Times New Roman" w:cs="Times New Roman"/>
        </w:rPr>
        <w:t xml:space="preserve">od planowanych w 2011 r. przychodów z emisji obligacji oszacowano na podstawie wcześniej podpisanych umów z tego tytułu. </w:t>
      </w:r>
    </w:p>
    <w:p w:rsidR="00054C20" w:rsidRDefault="004062BE" w:rsidP="00B21EB3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Kwota długu na koniec każdego roku określona została w oparciu o podpisane umowy </w:t>
      </w:r>
      <w:r w:rsidR="00B63C82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z wyjątkiem planowanej  kwoty z emisji obligacji w 2011 r. i stanowi realne wartości. </w:t>
      </w:r>
    </w:p>
    <w:p w:rsidR="009435A9" w:rsidRDefault="009435A9" w:rsidP="00B21EB3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</w:p>
    <w:p w:rsidR="009435A9" w:rsidRDefault="009435A9" w:rsidP="00B21EB3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</w:p>
    <w:p w:rsidR="00B21EB3" w:rsidRDefault="00B21EB3" w:rsidP="00B21EB3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</w:p>
    <w:p w:rsidR="00B21EB3" w:rsidRPr="00B21EB3" w:rsidRDefault="00B21EB3" w:rsidP="00B21EB3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</w:p>
    <w:p w:rsidR="008C7B83" w:rsidRPr="00B21EB3" w:rsidRDefault="008C7B83" w:rsidP="00B21EB3">
      <w:pPr>
        <w:spacing w:line="360" w:lineRule="auto"/>
        <w:rPr>
          <w:rFonts w:ascii="Times New Roman" w:hAnsi="Times New Roman" w:cs="Times New Roman"/>
        </w:rPr>
      </w:pPr>
    </w:p>
    <w:sectPr w:rsidR="008C7B83" w:rsidRPr="00B21EB3" w:rsidSect="00A36B73">
      <w:pgSz w:w="12240" w:h="15840"/>
      <w:pgMar w:top="1440" w:right="1440" w:bottom="1417" w:left="144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21EB3"/>
    <w:rsid w:val="00054C20"/>
    <w:rsid w:val="004062BE"/>
    <w:rsid w:val="004B5B69"/>
    <w:rsid w:val="00622457"/>
    <w:rsid w:val="008C7B83"/>
    <w:rsid w:val="009435A9"/>
    <w:rsid w:val="00A67E0A"/>
    <w:rsid w:val="00B21EB3"/>
    <w:rsid w:val="00B62586"/>
    <w:rsid w:val="00B63C82"/>
    <w:rsid w:val="00D6051A"/>
    <w:rsid w:val="00DD0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4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B21EB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</dc:creator>
  <cp:keywords/>
  <dc:description/>
  <cp:lastModifiedBy>KOWALSKA</cp:lastModifiedBy>
  <cp:revision>9</cp:revision>
  <cp:lastPrinted>2010-11-30T10:40:00Z</cp:lastPrinted>
  <dcterms:created xsi:type="dcterms:W3CDTF">2010-11-13T10:37:00Z</dcterms:created>
  <dcterms:modified xsi:type="dcterms:W3CDTF">2010-11-30T10:40:00Z</dcterms:modified>
</cp:coreProperties>
</file>